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Default="000D3248" w:rsidP="000D3248">
      <w:pPr>
        <w:spacing w:after="0" w:line="240" w:lineRule="auto"/>
        <w:contextualSpacing/>
        <w:rPr>
          <w:rFonts w:ascii="Times New Roman" w:hAnsi="Times New Roman"/>
          <w:b/>
          <w:noProof/>
          <w:color w:val="000000"/>
          <w:sz w:val="20"/>
          <w:szCs w:val="20"/>
          <w:lang w:val="kk-KZ"/>
        </w:rPr>
      </w:pPr>
    </w:p>
    <w:p w:rsidR="000D3248" w:rsidRPr="000D3248" w:rsidRDefault="000D3248" w:rsidP="000D32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0D3248">
        <w:rPr>
          <w:rFonts w:ascii="Times New Roman" w:hAnsi="Times New Roman"/>
          <w:b/>
          <w:bCs/>
          <w:color w:val="000000"/>
          <w:sz w:val="32"/>
          <w:szCs w:val="32"/>
        </w:rPr>
        <w:t xml:space="preserve">СӨЖ </w:t>
      </w:r>
      <w:proofErr w:type="spellStart"/>
      <w:r w:rsidRPr="000D3248">
        <w:rPr>
          <w:rFonts w:ascii="Times New Roman" w:hAnsi="Times New Roman"/>
          <w:b/>
          <w:bCs/>
          <w:color w:val="000000"/>
          <w:sz w:val="32"/>
          <w:szCs w:val="32"/>
        </w:rPr>
        <w:t>тапсырмалары</w:t>
      </w:r>
      <w:proofErr w:type="spellEnd"/>
    </w:p>
    <w:p w:rsidR="000D3248" w:rsidRPr="000D3248" w:rsidRDefault="000D3248" w:rsidP="000D3248">
      <w:pPr>
        <w:spacing w:after="0" w:line="240" w:lineRule="auto"/>
        <w:contextualSpacing/>
        <w:rPr>
          <w:rFonts w:ascii="Times New Roman" w:hAnsi="Times New Roman"/>
          <w:b/>
          <w:noProof/>
          <w:color w:val="000000"/>
          <w:sz w:val="32"/>
          <w:szCs w:val="32"/>
          <w:lang w:val="kk-KZ"/>
        </w:rPr>
      </w:pPr>
    </w:p>
    <w:p w:rsidR="000D3248" w:rsidRPr="000D3248" w:rsidRDefault="000D3248" w:rsidP="000D3248">
      <w:pPr>
        <w:spacing w:after="0" w:line="240" w:lineRule="auto"/>
        <w:contextualSpacing/>
        <w:rPr>
          <w:rFonts w:ascii="Times New Roman" w:hAnsi="Times New Roman"/>
          <w:b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color w:val="000000"/>
          <w:sz w:val="32"/>
          <w:szCs w:val="32"/>
          <w:lang w:val="kk-KZ"/>
        </w:rPr>
        <w:t xml:space="preserve">СӨЖ-1. </w:t>
      </w:r>
      <w:r w:rsidRPr="000D3248">
        <w:rPr>
          <w:rFonts w:ascii="Times New Roman" w:hAnsi="Times New Roman"/>
          <w:noProof/>
          <w:color w:val="000000"/>
          <w:sz w:val="32"/>
          <w:szCs w:val="32"/>
          <w:lang w:val="kk-KZ"/>
        </w:rPr>
        <w:t>Ежелгі және ортағасырлық протомузейлердің негізгі мәселелері</w:t>
      </w:r>
    </w:p>
    <w:p w:rsidR="000D3248" w:rsidRPr="000D3248" w:rsidRDefault="000D3248" w:rsidP="000D3248">
      <w:pPr>
        <w:spacing w:after="0" w:line="240" w:lineRule="auto"/>
        <w:contextualSpacing/>
        <w:rPr>
          <w:rFonts w:ascii="Times New Roman" w:hAnsi="Times New Roman"/>
          <w:b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СӨЖ-2.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В.Поршневтің</w:t>
      </w: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 «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Мусей в культурном наследии античности» еңбегін талдау</w:t>
      </w:r>
    </w:p>
    <w:p w:rsidR="000A4D0B" w:rsidRPr="000D3248" w:rsidRDefault="000D3248">
      <w:pPr>
        <w:rPr>
          <w:rFonts w:ascii="Times New Roman" w:hAnsi="Times New Roman"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СӨЖ-3.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Қытайдың көне өнері</w:t>
      </w:r>
    </w:p>
    <w:p w:rsidR="000D3248" w:rsidRPr="000D3248" w:rsidRDefault="000D3248" w:rsidP="000D3248">
      <w:pPr>
        <w:spacing w:after="0" w:line="240" w:lineRule="auto"/>
        <w:contextualSpacing/>
        <w:rPr>
          <w:rFonts w:ascii="Times New Roman" w:hAnsi="Times New Roman"/>
          <w:b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СӨЖ-4.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Көне Грекияның театрлары мен скульптурасының эстетикасы. Қытай фарфорының эстетикасы мен оның дүниетанымдық ерекшеліктері</w:t>
      </w:r>
    </w:p>
    <w:p w:rsidR="000D3248" w:rsidRPr="000D3248" w:rsidRDefault="000D3248">
      <w:pPr>
        <w:rPr>
          <w:rFonts w:ascii="Times New Roman" w:hAnsi="Times New Roman"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СӨЖ-5.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Ә.Т.Төлебиев «Өнер тарихы» еңбегін талдау</w:t>
      </w:r>
    </w:p>
    <w:p w:rsidR="000D3248" w:rsidRPr="000D3248" w:rsidRDefault="000D3248">
      <w:pPr>
        <w:rPr>
          <w:rFonts w:ascii="Times New Roman" w:hAnsi="Times New Roman"/>
          <w:noProof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СӨЖ-6.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Көне Грекиялық және Римдік өнерлердің ерекшеліктері мен эстетикасы</w:t>
      </w:r>
    </w:p>
    <w:p w:rsidR="000D3248" w:rsidRPr="000D3248" w:rsidRDefault="000D3248">
      <w:pPr>
        <w:rPr>
          <w:rFonts w:ascii="Times New Roman" w:hAnsi="Times New Roman"/>
          <w:sz w:val="32"/>
          <w:szCs w:val="32"/>
          <w:lang w:val="kk-KZ"/>
        </w:rPr>
      </w:pPr>
      <w:r w:rsidRPr="000D3248">
        <w:rPr>
          <w:rFonts w:ascii="Times New Roman" w:hAnsi="Times New Roman"/>
          <w:b/>
          <w:noProof/>
          <w:sz w:val="32"/>
          <w:szCs w:val="32"/>
          <w:lang w:val="kk-KZ"/>
        </w:rPr>
        <w:t xml:space="preserve">СӨЖ-7. </w:t>
      </w:r>
      <w:r w:rsidRPr="000D3248">
        <w:rPr>
          <w:rFonts w:ascii="Times New Roman" w:hAnsi="Times New Roman"/>
          <w:noProof/>
          <w:sz w:val="32"/>
          <w:szCs w:val="32"/>
          <w:lang w:val="kk-KZ"/>
        </w:rPr>
        <w:t>Ислам елдерінің архитектурасы мен қолөнерінің ерекшеліктері мен эстетикасы: Испания, Солтүстік  Африка, Сирия, Египет, Индия және Туркия</w:t>
      </w:r>
    </w:p>
    <w:sectPr w:rsidR="000D3248" w:rsidRPr="000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8"/>
    <w:rsid w:val="000A4D0B"/>
    <w:rsid w:val="000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9E41"/>
  <w15:chartTrackingRefBased/>
  <w15:docId w15:val="{A72C2932-B6F5-47E9-8565-33D10B4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2021-01-24T04:57:00Z</dcterms:created>
  <dcterms:modified xsi:type="dcterms:W3CDTF">2021-01-24T05:02:00Z</dcterms:modified>
</cp:coreProperties>
</file>